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微软雅黑" w:hAnsi="微软雅黑" w:cs="微软雅黑"/>
          <w:b/>
          <w:bCs/>
          <w:color w:val="4A89E2"/>
          <w:kern w:val="36"/>
          <w:sz w:val="36"/>
          <w:szCs w:val="36"/>
        </w:rPr>
      </w:pPr>
      <w:r>
        <w:rPr>
          <w:rFonts w:hint="eastAsia" w:ascii="微软雅黑" w:hAnsi="微软雅黑" w:cs="宋体"/>
          <w:b/>
          <w:bCs/>
          <w:color w:val="4A89E2"/>
          <w:kern w:val="36"/>
          <w:sz w:val="36"/>
          <w:szCs w:val="36"/>
        </w:rPr>
        <w:t>广州医科大学关于对附属第</w:t>
      </w:r>
      <w:r>
        <w:rPr>
          <w:rFonts w:hint="eastAsia" w:ascii="微软雅黑" w:hAnsi="微软雅黑" w:cs="宋体"/>
          <w:b/>
          <w:bCs/>
          <w:color w:val="4A89E2"/>
          <w:kern w:val="36"/>
          <w:sz w:val="36"/>
          <w:szCs w:val="36"/>
          <w:lang w:eastAsia="zh-CN"/>
        </w:rPr>
        <w:t>二</w:t>
      </w:r>
      <w:r>
        <w:rPr>
          <w:rFonts w:hint="eastAsia" w:ascii="微软雅黑" w:hAnsi="微软雅黑" w:cs="宋体"/>
          <w:b/>
          <w:bCs/>
          <w:color w:val="4A89E2"/>
          <w:kern w:val="36"/>
          <w:sz w:val="36"/>
          <w:szCs w:val="36"/>
        </w:rPr>
        <w:t>医院资产处置进行公示的通告</w:t>
      </w:r>
    </w:p>
    <w:p>
      <w:pPr>
        <w:widowControl/>
        <w:spacing w:before="225" w:after="225" w:line="480" w:lineRule="auto"/>
        <w:ind w:firstLine="480"/>
        <w:jc w:val="left"/>
        <w:rPr>
          <w:rFonts w:ascii="微软雅黑" w:hAnsi="微软雅黑" w:cs="微软雅黑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根据市财政局《关于印发〈广州市市属行政事业单位国有资产处置办法〉的通知》（穗财规字〔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2017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〕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5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号）第三十条、第（四）款要求，现将附属第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  <w:lang w:eastAsia="zh-CN"/>
        </w:rPr>
        <w:t>二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医院关于申请报废的相关资产在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  <w:lang w:eastAsia="zh-CN"/>
        </w:rPr>
        <w:t>学校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后勤校产管理处的网站予以公示（详见清单）。公示期间如有异议，请以书面或电子邮件的形式向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  <w:lang w:eastAsia="zh-CN"/>
        </w:rPr>
        <w:t>学校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后勤校产管理处反映，反映情况的书面材料或者电子邮件要签署真实姓名，并留联系电话，否则不予受理。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 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　　</w:t>
      </w:r>
      <w:r>
        <w:rPr>
          <w:rFonts w:hint="eastAsia" w:ascii="微软雅黑" w:hAnsi="微软雅黑" w:cs="宋体"/>
          <w:b/>
          <w:bCs/>
          <w:color w:val="333333"/>
          <w:kern w:val="0"/>
          <w:sz w:val="24"/>
          <w:szCs w:val="24"/>
        </w:rPr>
        <w:t>一、公示时间：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 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　　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201</w:t>
      </w:r>
      <w:r>
        <w:rPr>
          <w:rFonts w:hint="eastAsia" w:ascii="微软雅黑" w:hAnsi="微软雅黑" w:cs="微软雅黑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cs="微软雅黑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cs="微软雅黑"/>
          <w:color w:val="333333"/>
          <w:kern w:val="0"/>
          <w:sz w:val="24"/>
          <w:szCs w:val="24"/>
          <w:lang w:val="en-US" w:eastAsia="zh-CN"/>
        </w:rPr>
        <w:t>29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日至</w:t>
      </w:r>
      <w:r>
        <w:rPr>
          <w:rFonts w:hint="eastAsia" w:ascii="微软雅黑" w:hAnsi="微软雅黑" w:cs="微软雅黑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cs="微软雅黑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日（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5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个工作日）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 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　　</w:t>
      </w:r>
      <w:r>
        <w:rPr>
          <w:rFonts w:hint="eastAsia" w:ascii="微软雅黑" w:hAnsi="微软雅黑" w:cs="宋体"/>
          <w:b/>
          <w:bCs/>
          <w:color w:val="333333"/>
          <w:kern w:val="0"/>
          <w:sz w:val="24"/>
          <w:szCs w:val="24"/>
        </w:rPr>
        <w:t>二、受理情况反映的部门、地址、人员、电话、电子邮件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 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　　广州医科大学，广州市番禺区新造镇，邮政编码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511436</w:t>
      </w:r>
    </w:p>
    <w:p>
      <w:pPr>
        <w:widowControl/>
        <w:spacing w:before="225" w:after="225" w:line="480" w:lineRule="auto"/>
        <w:ind w:firstLine="480"/>
        <w:jc w:val="left"/>
        <w:rPr>
          <w:rFonts w:ascii="微软雅黑" w:hAnsi="微软雅黑" w:cs="微软雅黑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联系人：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  <w:lang w:eastAsia="zh-CN"/>
        </w:rPr>
        <w:t>赵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老师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 xml:space="preserve"> 37103118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（资产管理科），电子邮箱：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zhaojianauto</w:t>
      </w:r>
      <w:r>
        <w:rPr>
          <w:rFonts w:ascii="宋体" w:hAnsi="宋体" w:cs="宋体"/>
          <w:kern w:val="0"/>
          <w:sz w:val="24"/>
          <w:szCs w:val="24"/>
        </w:rPr>
        <w:t>@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126</w:t>
      </w:r>
      <w:r>
        <w:rPr>
          <w:rFonts w:ascii="宋体" w:hAnsi="宋体" w:cs="宋体"/>
          <w:kern w:val="0"/>
          <w:sz w:val="24"/>
          <w:szCs w:val="24"/>
        </w:rPr>
        <w:t>.c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om</w:t>
      </w:r>
      <w:r>
        <w:rPr>
          <w:rFonts w:ascii="微软雅黑" w:hAnsi="微软雅黑" w:cs="微软雅黑"/>
          <w:color w:val="333333"/>
          <w:kern w:val="0"/>
          <w:sz w:val="24"/>
          <w:szCs w:val="24"/>
        </w:rPr>
        <w:t> </w:t>
      </w:r>
    </w:p>
    <w:p>
      <w:pPr>
        <w:widowControl/>
        <w:spacing w:line="405" w:lineRule="atLeast"/>
        <w:ind w:firstLine="645"/>
        <w:jc w:val="left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附件：公示清单</w:t>
      </w:r>
    </w:p>
    <w:p>
      <w:pPr>
        <w:widowControl/>
        <w:spacing w:line="405" w:lineRule="atLeast"/>
        <w:ind w:firstLine="645"/>
        <w:jc w:val="left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/>
          <w:color w:val="000000"/>
          <w:kern w:val="0"/>
          <w:sz w:val="24"/>
          <w:szCs w:val="24"/>
        </w:rPr>
        <w:t> </w:t>
      </w:r>
    </w:p>
    <w:p>
      <w:pPr>
        <w:widowControl/>
        <w:spacing w:line="405" w:lineRule="atLeast"/>
        <w:ind w:firstLine="645"/>
        <w:jc w:val="left"/>
        <w:rPr>
          <w:rFonts w:ascii="宋体"/>
          <w:color w:val="000000"/>
          <w:kern w:val="0"/>
          <w:sz w:val="24"/>
          <w:szCs w:val="24"/>
        </w:rPr>
      </w:pPr>
    </w:p>
    <w:p>
      <w:pPr>
        <w:widowControl/>
        <w:spacing w:line="405" w:lineRule="atLeast"/>
        <w:ind w:firstLine="645"/>
        <w:jc w:val="right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　　　　　　　　　　　　</w:t>
      </w:r>
      <w:r>
        <w:rPr>
          <w:rFonts w:ascii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广州医科大学后勤校产管理处</w:t>
      </w:r>
    </w:p>
    <w:p>
      <w:pPr>
        <w:widowControl/>
        <w:wordWrap w:val="0"/>
        <w:spacing w:line="405" w:lineRule="atLeast"/>
        <w:ind w:firstLine="645"/>
        <w:jc w:val="right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　　　</w:t>
      </w:r>
      <w:r>
        <w:rPr>
          <w:rFonts w:ascii="宋体"/>
          <w:color w:val="000000"/>
          <w:kern w:val="0"/>
          <w:sz w:val="24"/>
          <w:szCs w:val="24"/>
        </w:rPr>
        <w:t> </w:t>
      </w:r>
      <w:r>
        <w:rPr>
          <w:rFonts w:ascii="宋体" w:hAnsi="宋体" w:cs="宋体"/>
          <w:color w:val="000000"/>
          <w:kern w:val="0"/>
          <w:sz w:val="24"/>
          <w:szCs w:val="24"/>
        </w:rPr>
        <w:t>201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widowControl/>
        <w:spacing w:line="405" w:lineRule="atLeas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资产报废公示清单</w:t>
      </w:r>
    </w:p>
    <w:p>
      <w:pPr>
        <w:widowControl/>
        <w:spacing w:line="405" w:lineRule="atLeast"/>
      </w:pPr>
      <w:r>
        <w:rPr>
          <w:rFonts w:hint="eastAsia" w:ascii="Courier New" w:hAnsi="Courier New" w:cs="宋体"/>
          <w:kern w:val="0"/>
          <w:sz w:val="24"/>
          <w:szCs w:val="24"/>
        </w:rPr>
        <w:t>申报单位：广州医科大学附属第</w:t>
      </w:r>
      <w:r>
        <w:rPr>
          <w:rFonts w:hint="eastAsia" w:ascii="Courier New" w:hAnsi="Courier New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Courier New" w:hAnsi="Courier New" w:cs="宋体"/>
          <w:kern w:val="0"/>
          <w:sz w:val="24"/>
          <w:szCs w:val="24"/>
        </w:rPr>
        <w:t>医院</w:t>
      </w:r>
      <w:r>
        <w:rPr>
          <w:rFonts w:ascii="Courier New" w:hAnsi="Courier New" w:cs="Courier New"/>
          <w:kern w:val="0"/>
          <w:sz w:val="24"/>
          <w:szCs w:val="24"/>
        </w:rPr>
        <w:t xml:space="preserve">                                                                  </w:t>
      </w:r>
      <w:r>
        <w:rPr>
          <w:rFonts w:hint="eastAsia" w:ascii="Courier New" w:hAnsi="Courier New" w:cs="宋体"/>
          <w:kern w:val="0"/>
          <w:sz w:val="24"/>
          <w:szCs w:val="24"/>
        </w:rPr>
        <w:t>金额单位：元</w:t>
      </w:r>
    </w:p>
    <w:tbl>
      <w:tblPr>
        <w:tblStyle w:val="9"/>
        <w:tblpPr w:leftFromText="180" w:rightFromText="180" w:vertAnchor="text" w:horzAnchor="margin" w:tblpXSpec="center" w:tblpY="98"/>
        <w:tblW w:w="15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660"/>
        <w:gridCol w:w="1960"/>
        <w:gridCol w:w="2460"/>
        <w:gridCol w:w="500"/>
        <w:gridCol w:w="500"/>
        <w:gridCol w:w="1318"/>
        <w:gridCol w:w="1447"/>
        <w:gridCol w:w="1446"/>
        <w:gridCol w:w="729"/>
        <w:gridCol w:w="600"/>
        <w:gridCol w:w="2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计量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购入日期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值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处置</w:t>
            </w: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申请处置原因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帐面原值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已提折旧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账面净值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形式</w:t>
            </w: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210100900010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升降机（电梯）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日立 GVF-B1600-C090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2003-04-01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587,860.00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587,860.00</w:t>
            </w:r>
            <w:bookmarkStart w:id="0" w:name="_GoBack"/>
            <w:bookmarkEnd w:id="0"/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没规定的可更新年限，经评估，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整机风险高，多项安全保护装置不符合新标准要求，存在安全隐患，无修理改造价值，建议整机更新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210100900011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升降机（电梯）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日立 GVF-B1600-C090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2003-04-01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587,860.00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587,860.00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没规定的可更新年限，经评估，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整机风险高，多项安全保护装置不符合新标准要求，存在安全隐患，无修理改造价值，建议整机更新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1,175,720.00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1,175,720.00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405" w:lineRule="atLeast"/>
        <w:ind w:firstLine="645"/>
        <w:jc w:val="center"/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E69"/>
    <w:rsid w:val="00070E12"/>
    <w:rsid w:val="001051B4"/>
    <w:rsid w:val="00192997"/>
    <w:rsid w:val="001A381A"/>
    <w:rsid w:val="001B60EF"/>
    <w:rsid w:val="001E3466"/>
    <w:rsid w:val="002C2386"/>
    <w:rsid w:val="002D3426"/>
    <w:rsid w:val="002E4411"/>
    <w:rsid w:val="002E67F8"/>
    <w:rsid w:val="00317DB3"/>
    <w:rsid w:val="00344677"/>
    <w:rsid w:val="003653E1"/>
    <w:rsid w:val="00393C70"/>
    <w:rsid w:val="003A56B1"/>
    <w:rsid w:val="004012FC"/>
    <w:rsid w:val="00494978"/>
    <w:rsid w:val="004C21A4"/>
    <w:rsid w:val="004E1DF6"/>
    <w:rsid w:val="004F06D2"/>
    <w:rsid w:val="00512242"/>
    <w:rsid w:val="005A5574"/>
    <w:rsid w:val="006A1003"/>
    <w:rsid w:val="006B0461"/>
    <w:rsid w:val="00736CCD"/>
    <w:rsid w:val="00762CDC"/>
    <w:rsid w:val="007F5797"/>
    <w:rsid w:val="00823E02"/>
    <w:rsid w:val="00834DF4"/>
    <w:rsid w:val="00875CF3"/>
    <w:rsid w:val="00913100"/>
    <w:rsid w:val="0093322C"/>
    <w:rsid w:val="00A533C5"/>
    <w:rsid w:val="00A62287"/>
    <w:rsid w:val="00A66E69"/>
    <w:rsid w:val="00A9328C"/>
    <w:rsid w:val="00A94BA8"/>
    <w:rsid w:val="00AD4E93"/>
    <w:rsid w:val="00B36B75"/>
    <w:rsid w:val="00B77002"/>
    <w:rsid w:val="00C525E9"/>
    <w:rsid w:val="00CB2F22"/>
    <w:rsid w:val="00D626E6"/>
    <w:rsid w:val="00E04911"/>
    <w:rsid w:val="00E46930"/>
    <w:rsid w:val="00E66E6F"/>
    <w:rsid w:val="00E95846"/>
    <w:rsid w:val="00EB27BA"/>
    <w:rsid w:val="00ED39E7"/>
    <w:rsid w:val="00ED7912"/>
    <w:rsid w:val="00F06617"/>
    <w:rsid w:val="00FB044C"/>
    <w:rsid w:val="1B8E71D2"/>
    <w:rsid w:val="2AB46C29"/>
    <w:rsid w:val="5941450F"/>
    <w:rsid w:val="59FD2955"/>
    <w:rsid w:val="6ED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6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6"/>
    <w:link w:val="4"/>
    <w:qFormat/>
    <w:locked/>
    <w:uiPriority w:val="99"/>
    <w:rPr>
      <w:kern w:val="2"/>
      <w:sz w:val="18"/>
      <w:szCs w:val="18"/>
    </w:rPr>
  </w:style>
  <w:style w:type="character" w:customStyle="1" w:styleId="13">
    <w:name w:val="页脚 Char"/>
    <w:basedOn w:val="6"/>
    <w:link w:val="3"/>
    <w:qFormat/>
    <w:locked/>
    <w:uiPriority w:val="99"/>
    <w:rPr>
      <w:kern w:val="2"/>
      <w:sz w:val="18"/>
      <w:szCs w:val="18"/>
    </w:rPr>
  </w:style>
  <w:style w:type="character" w:customStyle="1" w:styleId="14">
    <w:name w:val="apple-converted-space"/>
    <w:basedOn w:val="6"/>
    <w:qFormat/>
    <w:uiPriority w:val="99"/>
  </w:style>
  <w:style w:type="character" w:customStyle="1" w:styleId="15">
    <w:name w:val="rcptname2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23378A-57F4-4749-99DF-7654A05D0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 Fei</Company>
  <Pages>4</Pages>
  <Words>374</Words>
  <Characters>2136</Characters>
  <Lines>17</Lines>
  <Paragraphs>5</Paragraphs>
  <TotalTime>5</TotalTime>
  <ScaleCrop>false</ScaleCrop>
  <LinksUpToDate>false</LinksUpToDate>
  <CharactersWithSpaces>2505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2018-06-12T00:29:00Z</dcterms:created>
  <dc:creator>User</dc:creator>
  <cp:lastModifiedBy>acer</cp:lastModifiedBy>
  <cp:lastPrinted>2019-01-28T07:07:02Z</cp:lastPrinted>
  <dcterms:modified xsi:type="dcterms:W3CDTF">2019-01-28T07:22:51Z</dcterms:modified>
  <dc:title>广州医科大学关于对附属肿瘤医院资产报废进行公示的通告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